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C1" w:rsidRDefault="00EA51C1"/>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132"/>
        <w:gridCol w:w="9764"/>
      </w:tblGrid>
      <w:tr w:rsidR="006A26AC" w:rsidTr="00AD4609">
        <w:tc>
          <w:tcPr>
            <w:tcW w:w="13896" w:type="dxa"/>
            <w:gridSpan w:val="2"/>
            <w:shd w:val="clear" w:color="auto" w:fill="B2A1C7" w:themeFill="accent4" w:themeFillTint="99"/>
          </w:tcPr>
          <w:p w:rsidR="006A26AC" w:rsidRDefault="00EA51C1">
            <w:r>
              <w:rPr>
                <w:color w:val="FFFFFF" w:themeColor="background1"/>
              </w:rPr>
              <w:t>UBC</w:t>
            </w:r>
            <w:r w:rsidR="006A26AC" w:rsidRPr="00AD4609">
              <w:rPr>
                <w:color w:val="FFFFFF" w:themeColor="background1"/>
              </w:rPr>
              <w:t xml:space="preserve"> BENEFITS</w:t>
            </w:r>
          </w:p>
        </w:tc>
      </w:tr>
      <w:tr w:rsidR="006A26AC" w:rsidTr="002A2A46">
        <w:tc>
          <w:tcPr>
            <w:tcW w:w="4132" w:type="dxa"/>
          </w:tcPr>
          <w:p w:rsidR="006A26AC" w:rsidRDefault="00311219">
            <w:r>
              <w:t>UBC Card</w:t>
            </w:r>
          </w:p>
          <w:p w:rsidR="00311219" w:rsidRDefault="00D4492F">
            <w:hyperlink r:id="rId7" w:history="1">
              <w:r w:rsidR="00311219" w:rsidRPr="00450096">
                <w:rPr>
                  <w:rStyle w:val="Hyperlink"/>
                  <w:color w:val="548DD4" w:themeColor="text2" w:themeTint="99"/>
                </w:rPr>
                <w:t>www.ubccard.ubc.ca</w:t>
              </w:r>
            </w:hyperlink>
          </w:p>
        </w:tc>
        <w:tc>
          <w:tcPr>
            <w:tcW w:w="9764" w:type="dxa"/>
          </w:tcPr>
          <w:p w:rsidR="00311219" w:rsidRDefault="00311219">
            <w:r>
              <w:t>The UBC card is UBC’s official identification document. It can be used for UBC Library services, UBC Bookstores and campus partners’ e-Money purchases, Food Services’ dining convenience and discounts, reduced or free admission to various UBC attractions and facilities.</w:t>
            </w:r>
          </w:p>
        </w:tc>
      </w:tr>
      <w:tr w:rsidR="006A26AC" w:rsidTr="002A2A46">
        <w:tc>
          <w:tcPr>
            <w:tcW w:w="4132" w:type="dxa"/>
          </w:tcPr>
          <w:p w:rsidR="006A26AC" w:rsidRDefault="00A53276">
            <w:r>
              <w:t>Campus Wide Login (CWL)</w:t>
            </w:r>
          </w:p>
          <w:p w:rsidR="00A53276" w:rsidRDefault="00D4492F">
            <w:hyperlink r:id="rId8" w:history="1">
              <w:r w:rsidR="00A53276" w:rsidRPr="00450096">
                <w:rPr>
                  <w:rStyle w:val="Hyperlink"/>
                  <w:color w:val="548DD4" w:themeColor="text2" w:themeTint="99"/>
                </w:rPr>
                <w:t>www.it.ubc.ca/cwl/homelink.shtml</w:t>
              </w:r>
            </w:hyperlink>
          </w:p>
        </w:tc>
        <w:tc>
          <w:tcPr>
            <w:tcW w:w="9764" w:type="dxa"/>
          </w:tcPr>
          <w:p w:rsidR="006A26AC" w:rsidRDefault="00A53276">
            <w:r>
              <w:t xml:space="preserve">CWL is UBC’s single sign-on authentication system designed to give you access to UBC’s online applications using the same username and password. Initial access will include the Faculty and Staff Self Service web portal </w:t>
            </w:r>
            <w:r w:rsidR="00EA51C1">
              <w:t>(to view pay stub, benefits, pension etc…</w:t>
            </w:r>
            <w:proofErr w:type="gramStart"/>
            <w:r w:rsidR="00EA51C1">
              <w:t>)</w:t>
            </w:r>
            <w:r>
              <w:t>and</w:t>
            </w:r>
            <w:proofErr w:type="gramEnd"/>
            <w:r>
              <w:t xml:space="preserve"> the Library</w:t>
            </w:r>
            <w:r w:rsidR="002A2A46">
              <w:t>.</w:t>
            </w:r>
            <w:r w:rsidR="00EA51C1">
              <w:t xml:space="preserve"> For remote access from home, please follow the VPN set up document </w:t>
            </w:r>
            <w:hyperlink r:id="rId9" w:history="1">
              <w:r w:rsidR="00EA51C1" w:rsidRPr="00450096">
                <w:rPr>
                  <w:rStyle w:val="Hyperlink"/>
                  <w:color w:val="548DD4" w:themeColor="text2" w:themeTint="99"/>
                </w:rPr>
                <w:t>http://it.ubc.ca/service-catalogue/internet-and-telephone/network-management/myvpn/setup-documents</w:t>
              </w:r>
            </w:hyperlink>
          </w:p>
        </w:tc>
      </w:tr>
      <w:tr w:rsidR="006A26AC" w:rsidTr="002A2A46">
        <w:tc>
          <w:tcPr>
            <w:tcW w:w="4132" w:type="dxa"/>
          </w:tcPr>
          <w:p w:rsidR="006A26AC" w:rsidRDefault="00A53276">
            <w:r>
              <w:t>UBC Library</w:t>
            </w:r>
          </w:p>
          <w:p w:rsidR="00A53276" w:rsidRDefault="00D4492F">
            <w:hyperlink r:id="rId10" w:history="1">
              <w:r w:rsidR="00A53276" w:rsidRPr="00450096">
                <w:rPr>
                  <w:rStyle w:val="Hyperlink"/>
                  <w:color w:val="548DD4" w:themeColor="text2" w:themeTint="99"/>
                </w:rPr>
                <w:t>www.library.ubc.ca</w:t>
              </w:r>
            </w:hyperlink>
          </w:p>
        </w:tc>
        <w:tc>
          <w:tcPr>
            <w:tcW w:w="9764" w:type="dxa"/>
          </w:tcPr>
          <w:p w:rsidR="006A26AC" w:rsidRDefault="00A53276" w:rsidP="002A2A46">
            <w:r>
              <w:t>UBC Staff have full access to all materials and services. These include remote access to medical journals, access to library research workshops, online guides and tutorials on a variety of topics, and assistance from the staff and reference librarian.</w:t>
            </w:r>
            <w:r w:rsidR="002A2A46">
              <w:t xml:space="preserve"> For remote access from home, please follow the VPN set up document </w:t>
            </w:r>
            <w:hyperlink r:id="rId11" w:history="1">
              <w:r w:rsidR="002A2A46" w:rsidRPr="00450096">
                <w:rPr>
                  <w:rStyle w:val="Hyperlink"/>
                  <w:color w:val="548DD4" w:themeColor="text2" w:themeTint="99"/>
                </w:rPr>
                <w:t>http://it.ubc.ca/service-catalogue/internet-and-telephone/network-management/myvpn/setup-documents</w:t>
              </w:r>
            </w:hyperlink>
            <w:r w:rsidR="002A2A46" w:rsidRPr="00450096">
              <w:rPr>
                <w:color w:val="548DD4" w:themeColor="text2" w:themeTint="99"/>
              </w:rPr>
              <w:t xml:space="preserve"> </w:t>
            </w:r>
          </w:p>
        </w:tc>
      </w:tr>
      <w:tr w:rsidR="00EA51C1" w:rsidTr="002A2A46">
        <w:tc>
          <w:tcPr>
            <w:tcW w:w="4132" w:type="dxa"/>
          </w:tcPr>
          <w:p w:rsidR="00EA51C1" w:rsidRDefault="00EA51C1" w:rsidP="007A7610">
            <w:r>
              <w:t>E-Mail Account</w:t>
            </w:r>
          </w:p>
          <w:p w:rsidR="00EA51C1" w:rsidRDefault="00EA51C1" w:rsidP="007A7610"/>
        </w:tc>
        <w:tc>
          <w:tcPr>
            <w:tcW w:w="9764" w:type="dxa"/>
          </w:tcPr>
          <w:p w:rsidR="00EA51C1" w:rsidRDefault="00EA51C1" w:rsidP="007A7610">
            <w:r>
              <w:t>Please contact Jackie Leung at</w:t>
            </w:r>
            <w:r w:rsidRPr="00450096">
              <w:rPr>
                <w:color w:val="548DD4" w:themeColor="text2" w:themeTint="99"/>
              </w:rPr>
              <w:t xml:space="preserve"> </w:t>
            </w:r>
            <w:hyperlink r:id="rId12" w:history="1">
              <w:r w:rsidRPr="00450096">
                <w:rPr>
                  <w:rStyle w:val="Hyperlink"/>
                  <w:color w:val="548DD4" w:themeColor="text2" w:themeTint="99"/>
                </w:rPr>
                <w:t>jleung@pathology.ubc.ca</w:t>
              </w:r>
            </w:hyperlink>
            <w:r>
              <w:t xml:space="preserve"> for setting up an email account.  Note that a CWL login must be setup first prior to getting an email account.</w:t>
            </w:r>
          </w:p>
        </w:tc>
      </w:tr>
      <w:tr w:rsidR="00EA51C1" w:rsidTr="002A2A46">
        <w:tc>
          <w:tcPr>
            <w:tcW w:w="4132" w:type="dxa"/>
          </w:tcPr>
          <w:p w:rsidR="00EA51C1" w:rsidRDefault="00EA51C1" w:rsidP="007A7610">
            <w:r>
              <w:t>Staff Benefit</w:t>
            </w:r>
          </w:p>
          <w:p w:rsidR="00EA51C1" w:rsidRDefault="00D4492F" w:rsidP="007A7610">
            <w:hyperlink r:id="rId13" w:history="1">
              <w:r w:rsidR="00EA51C1" w:rsidRPr="00EA51C1">
                <w:rPr>
                  <w:rStyle w:val="Hyperlink"/>
                  <w:color w:val="548DD4" w:themeColor="text2" w:themeTint="99"/>
                </w:rPr>
                <w:t>www.hr.ubc.ca/benefits</w:t>
              </w:r>
            </w:hyperlink>
          </w:p>
        </w:tc>
        <w:tc>
          <w:tcPr>
            <w:tcW w:w="9764" w:type="dxa"/>
          </w:tcPr>
          <w:p w:rsidR="00EA51C1" w:rsidRDefault="00EA51C1" w:rsidP="00EA51C1">
            <w:r>
              <w:t>Benefits, combined with compensation (salaries) and pension, are part of the University’s Total Compensation philosophy. This includes MSP, extended health, EFAP etc… For more info, please visit link.</w:t>
            </w:r>
          </w:p>
        </w:tc>
      </w:tr>
      <w:tr w:rsidR="00EA51C1" w:rsidTr="002A2A46">
        <w:tc>
          <w:tcPr>
            <w:tcW w:w="4132" w:type="dxa"/>
          </w:tcPr>
          <w:p w:rsidR="00EA51C1" w:rsidRDefault="00EA51C1" w:rsidP="007A7610">
            <w:r>
              <w:t>Professional Development Funds</w:t>
            </w:r>
          </w:p>
          <w:p w:rsidR="00EA51C1" w:rsidRDefault="00D4492F" w:rsidP="007A7610">
            <w:hyperlink r:id="rId14" w:history="1">
              <w:r w:rsidR="00EA51C1" w:rsidRPr="00450096">
                <w:rPr>
                  <w:rStyle w:val="Hyperlink"/>
                  <w:color w:val="548DD4" w:themeColor="text2" w:themeTint="99"/>
                </w:rPr>
                <w:t>www.hr.ubc.ca/learning-development/funding</w:t>
              </w:r>
            </w:hyperlink>
          </w:p>
        </w:tc>
        <w:tc>
          <w:tcPr>
            <w:tcW w:w="9764" w:type="dxa"/>
          </w:tcPr>
          <w:p w:rsidR="00EA51C1" w:rsidRDefault="00EA51C1" w:rsidP="007A7610">
            <w:r>
              <w:t xml:space="preserve">UBC is committed to the professional development of its employees recognizing that ongoing learning is one of the cornerstones of an engaged workforce. Depending on which employee group you belong to, there are different funding programs available. Questions/comments about the programs, please contact Susanna Mulligan at </w:t>
            </w:r>
            <w:hyperlink r:id="rId15" w:history="1">
              <w:r w:rsidRPr="00450096">
                <w:rPr>
                  <w:rStyle w:val="Hyperlink"/>
                  <w:color w:val="548DD4" w:themeColor="text2" w:themeTint="99"/>
                </w:rPr>
                <w:t>susanna.mulligan@ubc.ca</w:t>
              </w:r>
            </w:hyperlink>
            <w:r w:rsidRPr="00450096">
              <w:rPr>
                <w:color w:val="548DD4" w:themeColor="text2" w:themeTint="99"/>
              </w:rPr>
              <w:t xml:space="preserve"> </w:t>
            </w:r>
            <w:r>
              <w:t xml:space="preserve">or Peter </w:t>
            </w:r>
            <w:proofErr w:type="spellStart"/>
            <w:r>
              <w:t>Godman</w:t>
            </w:r>
            <w:proofErr w:type="spellEnd"/>
            <w:r>
              <w:t xml:space="preserve"> at </w:t>
            </w:r>
            <w:hyperlink r:id="rId16" w:history="1">
              <w:r w:rsidRPr="00450096">
                <w:rPr>
                  <w:rStyle w:val="Hyperlink"/>
                  <w:color w:val="548DD4" w:themeColor="text2" w:themeTint="99"/>
                </w:rPr>
                <w:t>peter.godman@ubc.ca</w:t>
              </w:r>
            </w:hyperlink>
          </w:p>
        </w:tc>
      </w:tr>
      <w:tr w:rsidR="00EA51C1" w:rsidTr="002A2A46">
        <w:tc>
          <w:tcPr>
            <w:tcW w:w="4132" w:type="dxa"/>
          </w:tcPr>
          <w:p w:rsidR="00EA51C1" w:rsidRDefault="00EA51C1" w:rsidP="007A7610">
            <w:r>
              <w:t>Online Expert Software Training</w:t>
            </w:r>
          </w:p>
          <w:p w:rsidR="00EA51C1" w:rsidRDefault="00D4492F" w:rsidP="007A7610">
            <w:hyperlink r:id="rId17" w:history="1">
              <w:r w:rsidR="00EA51C1" w:rsidRPr="00450096">
                <w:rPr>
                  <w:rStyle w:val="Hyperlink"/>
                  <w:color w:val="548DD4" w:themeColor="text2" w:themeTint="99"/>
                </w:rPr>
                <w:t>www.hr.ubc.ca/learning-development/</w:t>
              </w:r>
            </w:hyperlink>
          </w:p>
        </w:tc>
        <w:tc>
          <w:tcPr>
            <w:tcW w:w="9764" w:type="dxa"/>
          </w:tcPr>
          <w:p w:rsidR="00EA51C1" w:rsidRDefault="00EA51C1" w:rsidP="007A7610">
            <w:r>
              <w:t xml:space="preserve">Online Expert offers self-guided tutorials for the most popular software. Offered online, you can access top-quality software tutorials anytime, from any computer- home or work. This is a free service provided to both CUPE 2950 and Executive Administrative employees. For more info, please contact Mary Tim at </w:t>
            </w:r>
            <w:hyperlink r:id="rId18" w:history="1">
              <w:r w:rsidRPr="00450096">
                <w:rPr>
                  <w:rStyle w:val="Hyperlink"/>
                  <w:color w:val="548DD4" w:themeColor="text2" w:themeTint="99"/>
                </w:rPr>
                <w:t>mary.tim@ubc.ca</w:t>
              </w:r>
            </w:hyperlink>
          </w:p>
        </w:tc>
      </w:tr>
      <w:tr w:rsidR="00EA51C1" w:rsidTr="002A2A46">
        <w:tc>
          <w:tcPr>
            <w:tcW w:w="4132" w:type="dxa"/>
          </w:tcPr>
          <w:p w:rsidR="00EA51C1" w:rsidRDefault="00EA51C1" w:rsidP="007A7610">
            <w:r>
              <w:t>MOST development workshop</w:t>
            </w:r>
          </w:p>
          <w:p w:rsidR="00EA51C1" w:rsidRDefault="00D4492F" w:rsidP="007A7610">
            <w:hyperlink r:id="rId19" w:history="1">
              <w:r w:rsidR="00EA51C1" w:rsidRPr="00450096">
                <w:rPr>
                  <w:rStyle w:val="Hyperlink"/>
                  <w:color w:val="548DD4" w:themeColor="text2" w:themeTint="99"/>
                </w:rPr>
                <w:t>www.hr.ubc.ca/odl/most/</w:t>
              </w:r>
            </w:hyperlink>
          </w:p>
        </w:tc>
        <w:tc>
          <w:tcPr>
            <w:tcW w:w="9764" w:type="dxa"/>
          </w:tcPr>
          <w:p w:rsidR="00EA51C1" w:rsidRDefault="00EA51C1" w:rsidP="007A7610">
            <w:r w:rsidRPr="00854AB9">
              <w:t>The MOST Program</w:t>
            </w:r>
            <w:r w:rsidRPr="00854AB9">
              <w:rPr>
                <w:b/>
                <w:bCs/>
              </w:rPr>
              <w:t xml:space="preserve"> </w:t>
            </w:r>
            <w:r w:rsidRPr="00854AB9">
              <w:t>offers professional development workshops geared to enhance and improve your effectiveness at work, as well as to support your career and personal development.</w:t>
            </w:r>
            <w:r>
              <w:t xml:space="preserve"> Workshops are open to</w:t>
            </w:r>
            <w:r w:rsidRPr="00854AB9">
              <w:t xml:space="preserve"> the community, with discounts available for UBC faculty and staff.</w:t>
            </w:r>
            <w:r>
              <w:t xml:space="preserve"> </w:t>
            </w:r>
            <w:r w:rsidRPr="00854AB9">
              <w:t>Professional development funding is available for membe</w:t>
            </w:r>
            <w:r>
              <w:t>rs of some UBC employee groups.</w:t>
            </w:r>
          </w:p>
        </w:tc>
      </w:tr>
    </w:tbl>
    <w:p w:rsidR="00450096" w:rsidRDefault="00450096"/>
    <w:p w:rsidR="00EA51C1" w:rsidRDefault="00EA51C1"/>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132"/>
        <w:gridCol w:w="9764"/>
      </w:tblGrid>
      <w:tr w:rsidR="002A2A46" w:rsidTr="00D4492F">
        <w:tc>
          <w:tcPr>
            <w:tcW w:w="13896" w:type="dxa"/>
            <w:gridSpan w:val="2"/>
            <w:shd w:val="clear" w:color="auto" w:fill="B2A1C7" w:themeFill="accent4" w:themeFillTint="99"/>
          </w:tcPr>
          <w:p w:rsidR="002A2A46" w:rsidRDefault="00EA51C1" w:rsidP="002A2A46">
            <w:r>
              <w:rPr>
                <w:color w:val="FFFFFF" w:themeColor="background1"/>
              </w:rPr>
              <w:t xml:space="preserve">UBC </w:t>
            </w:r>
            <w:r w:rsidR="002A2A46" w:rsidRPr="00AD4609">
              <w:rPr>
                <w:color w:val="FFFFFF" w:themeColor="background1"/>
              </w:rPr>
              <w:t>BENEFITS</w:t>
            </w:r>
            <w:r w:rsidR="006A6139">
              <w:rPr>
                <w:color w:val="FFFFFF" w:themeColor="background1"/>
              </w:rPr>
              <w:t xml:space="preserve"> (CONTINUES)</w:t>
            </w:r>
          </w:p>
        </w:tc>
      </w:tr>
      <w:tr w:rsidR="00EA51C1" w:rsidTr="00D4492F">
        <w:tc>
          <w:tcPr>
            <w:tcW w:w="4132" w:type="dxa"/>
          </w:tcPr>
          <w:p w:rsidR="00EA51C1" w:rsidRDefault="00EA51C1" w:rsidP="007A7610">
            <w:r>
              <w:t>Tuition Fee Benefit</w:t>
            </w:r>
          </w:p>
          <w:p w:rsidR="00EA51C1" w:rsidRDefault="00D4492F" w:rsidP="007A7610">
            <w:hyperlink r:id="rId20" w:history="1">
              <w:r w:rsidR="00EA51C1" w:rsidRPr="00450096">
                <w:rPr>
                  <w:rStyle w:val="Hyperlink"/>
                  <w:color w:val="548DD4" w:themeColor="text2" w:themeTint="99"/>
                </w:rPr>
                <w:t>www.hr.ubc.ca/benefits/professional-development/</w:t>
              </w:r>
            </w:hyperlink>
          </w:p>
        </w:tc>
        <w:tc>
          <w:tcPr>
            <w:tcW w:w="9764" w:type="dxa"/>
          </w:tcPr>
          <w:p w:rsidR="00EA51C1" w:rsidRDefault="00EA51C1" w:rsidP="007A7610">
            <w:r w:rsidRPr="00854AB9">
              <w:t>The UBC Tuition Fee Waiver provides eligible UBC staff and faculty with tuition assistance for approved undergraduate and graduate courses, as well as non-credit courses offered through Continuing Studies.</w:t>
            </w:r>
            <w:r>
              <w:t xml:space="preserve"> </w:t>
            </w:r>
            <w:r w:rsidRPr="00854AB9">
              <w:t xml:space="preserve">Your eligibility for the UBC Tuition Fee Waiver depends on which UBC employee group you belong to. For information about specific conditions and procedures, or for instructions on how to apply for a waiver, </w:t>
            </w:r>
            <w:r>
              <w:t>visit the link.</w:t>
            </w:r>
          </w:p>
        </w:tc>
      </w:tr>
      <w:tr w:rsidR="00D4492F" w:rsidTr="00D4492F">
        <w:tc>
          <w:tcPr>
            <w:tcW w:w="4132" w:type="dxa"/>
          </w:tcPr>
          <w:p w:rsidR="00D4492F" w:rsidRDefault="00D4492F" w:rsidP="007A7610">
            <w:r>
              <w:t>UBC Bookstore Discounts</w:t>
            </w:r>
          </w:p>
          <w:p w:rsidR="00D4492F" w:rsidRDefault="00D4492F" w:rsidP="007A7610">
            <w:hyperlink r:id="rId21" w:history="1">
              <w:r w:rsidRPr="00450096">
                <w:rPr>
                  <w:rStyle w:val="Hyperlink"/>
                  <w:color w:val="548DD4" w:themeColor="text2" w:themeTint="99"/>
                </w:rPr>
                <w:t>www.bookstore.ubc.ca/cpu/index.html</w:t>
              </w:r>
            </w:hyperlink>
          </w:p>
        </w:tc>
        <w:tc>
          <w:tcPr>
            <w:tcW w:w="9764" w:type="dxa"/>
          </w:tcPr>
          <w:p w:rsidR="00D4492F" w:rsidRDefault="00D4492F" w:rsidP="007A7610">
            <w:r>
              <w:t>With a UBC Card, you are eligible for discounts on computers</w:t>
            </w:r>
          </w:p>
        </w:tc>
      </w:tr>
      <w:tr w:rsidR="00D4492F" w:rsidTr="00D4492F">
        <w:tc>
          <w:tcPr>
            <w:tcW w:w="4132" w:type="dxa"/>
          </w:tcPr>
          <w:p w:rsidR="00D4492F" w:rsidRDefault="00D4492F" w:rsidP="007A7610">
            <w:r>
              <w:t>Retail Goods and Services</w:t>
            </w:r>
          </w:p>
        </w:tc>
        <w:tc>
          <w:tcPr>
            <w:tcW w:w="9764" w:type="dxa"/>
          </w:tcPr>
          <w:p w:rsidR="00D4492F" w:rsidRDefault="00D4492F" w:rsidP="007A7610">
            <w:r>
              <w:t>Many companies offer government and educational discounts. Ask, and have your UBC Card with you</w:t>
            </w:r>
          </w:p>
          <w:p w:rsidR="00D4492F" w:rsidRDefault="00D4492F" w:rsidP="007A7610"/>
        </w:tc>
      </w:tr>
      <w:tr w:rsidR="00D4492F" w:rsidTr="00D4492F">
        <w:tc>
          <w:tcPr>
            <w:tcW w:w="4132" w:type="dxa"/>
          </w:tcPr>
          <w:p w:rsidR="00D4492F" w:rsidRDefault="00D4492F" w:rsidP="007A7610">
            <w:r>
              <w:t>Vancouver Attractions</w:t>
            </w:r>
          </w:p>
          <w:p w:rsidR="00D4492F" w:rsidRDefault="00D4492F" w:rsidP="007A7610">
            <w:hyperlink r:id="rId22" w:history="1">
              <w:r w:rsidRPr="00450096">
                <w:rPr>
                  <w:rStyle w:val="Hyperlink"/>
                  <w:color w:val="548DD4" w:themeColor="text2" w:themeTint="99"/>
                </w:rPr>
                <w:t>www.hr.ubc.ca/faculty-staff-resources/perks</w:t>
              </w:r>
            </w:hyperlink>
          </w:p>
        </w:tc>
        <w:tc>
          <w:tcPr>
            <w:tcW w:w="9764" w:type="dxa"/>
          </w:tcPr>
          <w:p w:rsidR="00D4492F" w:rsidRDefault="00D4492F" w:rsidP="007A7610">
            <w:r>
              <w:t>Free admission to the UBC Museum of Anthropology, and reduced admission to the UBC Botanical Garden, Frederic Wood Theatre, TELUS studio Theatre, other attractions and numerous fitness and recreation programs</w:t>
            </w:r>
          </w:p>
        </w:tc>
      </w:tr>
      <w:tr w:rsidR="00D4492F" w:rsidTr="00D4492F">
        <w:tc>
          <w:tcPr>
            <w:tcW w:w="4132" w:type="dxa"/>
          </w:tcPr>
          <w:p w:rsidR="00D4492F" w:rsidRDefault="00D4492F" w:rsidP="007A7610">
            <w:r>
              <w:t>Reciprocal Parking Agreements</w:t>
            </w:r>
          </w:p>
          <w:p w:rsidR="00D4492F" w:rsidRDefault="00D4492F" w:rsidP="007A7610">
            <w:hyperlink r:id="rId23" w:history="1">
              <w:r w:rsidRPr="00450096">
                <w:rPr>
                  <w:rStyle w:val="Hyperlink"/>
                  <w:color w:val="548DD4" w:themeColor="text2" w:themeTint="99"/>
                </w:rPr>
                <w:t>www.hr.ubc.ca/faculty-staff-resources/perks/</w:t>
              </w:r>
            </w:hyperlink>
          </w:p>
        </w:tc>
        <w:tc>
          <w:tcPr>
            <w:tcW w:w="9764" w:type="dxa"/>
          </w:tcPr>
          <w:p w:rsidR="00D4492F" w:rsidRDefault="00D4492F" w:rsidP="007A7610">
            <w:r>
              <w:t xml:space="preserve">UBC has reciprocal parking agreements with SFU and </w:t>
            </w:r>
            <w:proofErr w:type="spellStart"/>
            <w:r>
              <w:t>UVic</w:t>
            </w:r>
            <w:proofErr w:type="spellEnd"/>
            <w:r>
              <w:t xml:space="preserve">. UBC faculty and staff who have current parking permits may park in faculty/staff lots at these institutions, and SFU and </w:t>
            </w:r>
            <w:proofErr w:type="spellStart"/>
            <w:r>
              <w:t>UVic</w:t>
            </w:r>
            <w:proofErr w:type="spellEnd"/>
            <w:r>
              <w:t xml:space="preserve"> faculty and staff with current parking permits may park in faculty/staff lots at UBC </w:t>
            </w:r>
          </w:p>
        </w:tc>
      </w:tr>
      <w:tr w:rsidR="00D4492F" w:rsidTr="00D4492F">
        <w:tc>
          <w:tcPr>
            <w:tcW w:w="4132" w:type="dxa"/>
          </w:tcPr>
          <w:p w:rsidR="00D4492F" w:rsidRDefault="00D4492F" w:rsidP="007A7610">
            <w:r>
              <w:t>Travel Discounts</w:t>
            </w:r>
          </w:p>
          <w:p w:rsidR="00D4492F" w:rsidRDefault="00D4492F" w:rsidP="007A7610">
            <w:hyperlink r:id="rId24" w:history="1">
              <w:r w:rsidRPr="00450096">
                <w:rPr>
                  <w:rStyle w:val="Hyperlink"/>
                  <w:color w:val="548DD4" w:themeColor="text2" w:themeTint="99"/>
                </w:rPr>
                <w:t>www.travel.ubc.ca</w:t>
              </w:r>
            </w:hyperlink>
          </w:p>
        </w:tc>
        <w:tc>
          <w:tcPr>
            <w:tcW w:w="9764" w:type="dxa"/>
          </w:tcPr>
          <w:p w:rsidR="00D4492F" w:rsidRDefault="00D4492F" w:rsidP="007A7610">
            <w:r>
              <w:t xml:space="preserve">Government, University and Corporate rates are available for Canadian hotels and vehicle rentals, including </w:t>
            </w:r>
            <w:proofErr w:type="spellStart"/>
            <w:r>
              <w:t>ZipCar</w:t>
            </w:r>
            <w:proofErr w:type="spellEnd"/>
            <w:r>
              <w:t xml:space="preserve">, Park </w:t>
            </w:r>
            <w:proofErr w:type="spellStart"/>
            <w:r>
              <w:t>N’Fly</w:t>
            </w:r>
            <w:proofErr w:type="spellEnd"/>
            <w:r>
              <w:t xml:space="preserve"> and YVR short-term and long-term parking</w:t>
            </w:r>
          </w:p>
        </w:tc>
      </w:tr>
      <w:tr w:rsidR="00D4492F" w:rsidTr="00D4492F">
        <w:tc>
          <w:tcPr>
            <w:tcW w:w="4132" w:type="dxa"/>
          </w:tcPr>
          <w:p w:rsidR="00D4492F" w:rsidRDefault="00D4492F" w:rsidP="007A7610">
            <w:r>
              <w:t>UBC Conferences &amp; Accommodation</w:t>
            </w:r>
          </w:p>
          <w:p w:rsidR="00D4492F" w:rsidRPr="00450096" w:rsidRDefault="00D4492F" w:rsidP="007A7610">
            <w:pPr>
              <w:rPr>
                <w:color w:val="548DD4" w:themeColor="text2" w:themeTint="99"/>
              </w:rPr>
            </w:pPr>
            <w:hyperlink r:id="rId25" w:history="1">
              <w:r w:rsidRPr="00450096">
                <w:rPr>
                  <w:rStyle w:val="Hyperlink"/>
                  <w:color w:val="548DD4" w:themeColor="text2" w:themeTint="99"/>
                </w:rPr>
                <w:t>www.ubcconferences.com/accomodations/</w:t>
              </w:r>
            </w:hyperlink>
          </w:p>
          <w:p w:rsidR="00D4492F" w:rsidRDefault="00D4492F" w:rsidP="007A7610">
            <w:hyperlink r:id="rId26" w:history="1">
              <w:r w:rsidRPr="00450096">
                <w:rPr>
                  <w:rStyle w:val="Hyperlink"/>
                  <w:color w:val="548DD4" w:themeColor="text2" w:themeTint="99"/>
                </w:rPr>
                <w:t>www.//okanagan.ubcconferences.com/</w:t>
              </w:r>
            </w:hyperlink>
          </w:p>
        </w:tc>
        <w:tc>
          <w:tcPr>
            <w:tcW w:w="9764" w:type="dxa"/>
          </w:tcPr>
          <w:p w:rsidR="00D4492F" w:rsidRDefault="00D4492F" w:rsidP="007A7610">
            <w:r>
              <w:t>Various types of accommodation are available on the UBC Point Gray Campus and UBC Okanagan Campus. For UBC Point Gray information and reservations, call 604-822-100, or toll free 888-822-1030 and request the campus rate. For UBC Okanagan information and reservation, call 1-250-807-8050, or toll free 1-888-318-8666 and request the campus rate.</w:t>
            </w:r>
          </w:p>
        </w:tc>
      </w:tr>
      <w:tr w:rsidR="00D4492F" w:rsidTr="00D4492F">
        <w:tc>
          <w:tcPr>
            <w:tcW w:w="4132" w:type="dxa"/>
          </w:tcPr>
          <w:p w:rsidR="00D4492F" w:rsidRDefault="00D4492F" w:rsidP="007A7610">
            <w:r>
              <w:t>UBC Child Care Services</w:t>
            </w:r>
          </w:p>
          <w:p w:rsidR="00D4492F" w:rsidRDefault="00D4492F" w:rsidP="007A7610">
            <w:hyperlink r:id="rId27" w:history="1">
              <w:r w:rsidRPr="00EA51C1">
                <w:rPr>
                  <w:rStyle w:val="Hyperlink"/>
                  <w:color w:val="548DD4" w:themeColor="text2" w:themeTint="99"/>
                </w:rPr>
                <w:t>www.childcare.ubc.ca</w:t>
              </w:r>
            </w:hyperlink>
          </w:p>
        </w:tc>
        <w:tc>
          <w:tcPr>
            <w:tcW w:w="9764" w:type="dxa"/>
          </w:tcPr>
          <w:p w:rsidR="00D4492F" w:rsidRDefault="00D4492F" w:rsidP="007A7610">
            <w:r>
              <w:t xml:space="preserve">UBC Child Care Services provides about 600 spaces designed for the children of students, faculty and staff at UBC. Expansions at various locations will annually create more </w:t>
            </w:r>
            <w:proofErr w:type="gramStart"/>
            <w:r>
              <w:t>spaces,</w:t>
            </w:r>
            <w:proofErr w:type="gramEnd"/>
            <w:r>
              <w:t xml:space="preserve"> however the waiting lists tend to be long.</w:t>
            </w:r>
          </w:p>
        </w:tc>
      </w:tr>
      <w:tr w:rsidR="00D4492F" w:rsidTr="00D4492F">
        <w:tc>
          <w:tcPr>
            <w:tcW w:w="4132" w:type="dxa"/>
          </w:tcPr>
          <w:p w:rsidR="00D4492F" w:rsidRDefault="00D4492F" w:rsidP="002A2A46">
            <w:r>
              <w:t>Kids &amp; Co. Parent</w:t>
            </w:r>
          </w:p>
          <w:p w:rsidR="00D4492F" w:rsidRDefault="00D4492F" w:rsidP="007A7610">
            <w:hyperlink r:id="rId28" w:history="1">
              <w:r w:rsidRPr="00450096">
                <w:rPr>
                  <w:rStyle w:val="Hyperlink"/>
                  <w:color w:val="548DD4" w:themeColor="text2" w:themeTint="99"/>
                </w:rPr>
                <w:t>www.kidsandcompany.ca/</w:t>
              </w:r>
            </w:hyperlink>
          </w:p>
        </w:tc>
        <w:tc>
          <w:tcPr>
            <w:tcW w:w="9764" w:type="dxa"/>
          </w:tcPr>
          <w:p w:rsidR="00D4492F" w:rsidRDefault="00D4492F" w:rsidP="007A7610">
            <w:r>
              <w:t xml:space="preserve">Kids &amp; Co. Parent give faculty and staff access to emergency child care as well as priority placement.  </w:t>
            </w:r>
          </w:p>
        </w:tc>
      </w:tr>
      <w:tr w:rsidR="00D4492F" w:rsidTr="00D4492F">
        <w:tc>
          <w:tcPr>
            <w:tcW w:w="4132" w:type="dxa"/>
          </w:tcPr>
          <w:p w:rsidR="00D4492F" w:rsidRDefault="00D4492F" w:rsidP="00450096"/>
        </w:tc>
        <w:tc>
          <w:tcPr>
            <w:tcW w:w="9764" w:type="dxa"/>
          </w:tcPr>
          <w:p w:rsidR="00D4492F" w:rsidRDefault="00D4492F" w:rsidP="00450096"/>
        </w:tc>
      </w:tr>
    </w:tbl>
    <w:p w:rsidR="002A2A46" w:rsidRDefault="002A2A46" w:rsidP="00450096"/>
    <w:p w:rsidR="001E0600" w:rsidRDefault="001E0600" w:rsidP="00450096">
      <w:bookmarkStart w:id="0" w:name="_GoBack"/>
      <w:bookmarkEnd w:id="0"/>
    </w:p>
    <w:sectPr w:rsidR="001E0600" w:rsidSect="00450096">
      <w:headerReference w:type="default" r:id="rId29"/>
      <w:pgSz w:w="15840" w:h="12240" w:orient="landscape"/>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96" w:rsidRDefault="00450096" w:rsidP="006A26AC">
      <w:pPr>
        <w:spacing w:after="0" w:line="240" w:lineRule="auto"/>
      </w:pPr>
      <w:r>
        <w:separator/>
      </w:r>
    </w:p>
  </w:endnote>
  <w:endnote w:type="continuationSeparator" w:id="0">
    <w:p w:rsidR="00450096" w:rsidRDefault="00450096" w:rsidP="006A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96" w:rsidRDefault="00450096" w:rsidP="006A26AC">
      <w:pPr>
        <w:spacing w:after="0" w:line="240" w:lineRule="auto"/>
      </w:pPr>
      <w:r>
        <w:separator/>
      </w:r>
    </w:p>
  </w:footnote>
  <w:footnote w:type="continuationSeparator" w:id="0">
    <w:p w:rsidR="00450096" w:rsidRDefault="00450096" w:rsidP="006A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030"/>
      <w:gridCol w:w="4906"/>
    </w:tblGrid>
    <w:tr w:rsidR="00450096" w:rsidRPr="00A74F6D" w:rsidTr="00311219">
      <w:trPr>
        <w:trHeight w:val="1152"/>
      </w:trPr>
      <w:tc>
        <w:tcPr>
          <w:tcW w:w="5030" w:type="dxa"/>
          <w:shd w:val="clear" w:color="auto" w:fill="auto"/>
        </w:tcPr>
        <w:p w:rsidR="00450096" w:rsidRPr="00A74F6D" w:rsidRDefault="00450096" w:rsidP="00EA51C1">
          <w:pPr>
            <w:tabs>
              <w:tab w:val="left" w:pos="1260"/>
            </w:tabs>
            <w:rPr>
              <w:color w:val="000066"/>
              <w:spacing w:val="70"/>
              <w:kern w:val="20"/>
              <w:sz w:val="28"/>
              <w:szCs w:val="28"/>
            </w:rPr>
          </w:pPr>
          <w:r w:rsidRPr="00A74F6D">
            <w:rPr>
              <w:color w:val="000066"/>
              <w:spacing w:val="70"/>
              <w:kern w:val="20"/>
              <w:sz w:val="20"/>
              <w:szCs w:val="20"/>
            </w:rPr>
            <w:br/>
          </w:r>
          <w:r w:rsidR="00EA51C1">
            <w:rPr>
              <w:noProof/>
              <w:color w:val="000066"/>
              <w:spacing w:val="70"/>
              <w:kern w:val="20"/>
              <w:sz w:val="28"/>
              <w:szCs w:val="28"/>
            </w:rPr>
            <w:drawing>
              <wp:inline distT="0" distB="0" distL="0" distR="0" wp14:anchorId="46FEB966" wp14:editId="351B6289">
                <wp:extent cx="2867025" cy="447675"/>
                <wp:effectExtent l="0" t="0" r="9525" b="9525"/>
                <wp:docPr id="2" name="Picture 2" descr="Description: ubc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bc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47675"/>
                        </a:xfrm>
                        <a:prstGeom prst="rect">
                          <a:avLst/>
                        </a:prstGeom>
                        <a:noFill/>
                        <a:ln>
                          <a:noFill/>
                        </a:ln>
                      </pic:spPr>
                    </pic:pic>
                  </a:graphicData>
                </a:graphic>
              </wp:inline>
            </w:drawing>
          </w:r>
        </w:p>
      </w:tc>
      <w:tc>
        <w:tcPr>
          <w:tcW w:w="4906" w:type="dxa"/>
          <w:shd w:val="clear" w:color="auto" w:fill="auto"/>
        </w:tcPr>
        <w:p w:rsidR="00450096" w:rsidRPr="00A74F6D" w:rsidRDefault="00EA51C1" w:rsidP="006A26AC">
          <w:pPr>
            <w:tabs>
              <w:tab w:val="left" w:pos="1260"/>
            </w:tabs>
            <w:ind w:left="1260"/>
            <w:jc w:val="right"/>
            <w:rPr>
              <w:color w:val="000066"/>
              <w:spacing w:val="70"/>
              <w:kern w:val="20"/>
              <w:sz w:val="28"/>
              <w:szCs w:val="28"/>
            </w:rPr>
          </w:pPr>
          <w:r>
            <w:rPr>
              <w:noProof/>
            </w:rPr>
            <mc:AlternateContent>
              <mc:Choice Requires="wps">
                <w:drawing>
                  <wp:anchor distT="0" distB="0" distL="114300" distR="114300" simplePos="0" relativeHeight="251659264" behindDoc="0" locked="0" layoutInCell="1" allowOverlap="1" wp14:anchorId="742466AA" wp14:editId="33837AD9">
                    <wp:simplePos x="0" y="0"/>
                    <wp:positionH relativeFrom="column">
                      <wp:posOffset>3968750</wp:posOffset>
                    </wp:positionH>
                    <wp:positionV relativeFrom="paragraph">
                      <wp:posOffset>323850</wp:posOffset>
                    </wp:positionV>
                    <wp:extent cx="1590675" cy="10096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096" w:rsidRPr="006A26AC" w:rsidRDefault="00450096" w:rsidP="006A26AC">
                                <w:pPr>
                                  <w:pStyle w:val="NoSpacing"/>
                                  <w:rPr>
                                    <w:rFonts w:ascii="Arial" w:hAnsi="Arial" w:cs="Arial"/>
                                    <w:sz w:val="16"/>
                                    <w:szCs w:val="16"/>
                                  </w:rPr>
                                </w:pPr>
                                <w:r w:rsidRPr="006A26AC">
                                  <w:rPr>
                                    <w:rFonts w:ascii="Arial" w:hAnsi="Arial" w:cs="Arial"/>
                                    <w:sz w:val="16"/>
                                    <w:szCs w:val="16"/>
                                  </w:rPr>
                                  <w:t>Faculty of Medicine</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G105-2211 Wesbrook Mall</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Vancouver, B.C. Canada V6T 2B5</w:t>
                                </w:r>
                              </w:p>
                              <w:p w:rsidR="00450096" w:rsidRPr="006A26AC" w:rsidRDefault="00450096" w:rsidP="006A26AC">
                                <w:pPr>
                                  <w:pStyle w:val="NoSpacing"/>
                                  <w:rPr>
                                    <w:rFonts w:ascii="Arial" w:hAnsi="Arial" w:cs="Arial"/>
                                    <w:sz w:val="16"/>
                                    <w:szCs w:val="16"/>
                                  </w:rPr>
                                </w:pP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Tel:  (604) 822-7102</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Fax: (604) 822-9703</w:t>
                                </w:r>
                              </w:p>
                              <w:p w:rsidR="00450096" w:rsidRPr="006A26AC" w:rsidRDefault="00D4492F" w:rsidP="006A26AC">
                                <w:pPr>
                                  <w:pStyle w:val="NoSpacing"/>
                                  <w:rPr>
                                    <w:rFonts w:ascii="Arial" w:hAnsi="Arial" w:cs="Arial"/>
                                    <w:sz w:val="16"/>
                                    <w:szCs w:val="16"/>
                                  </w:rPr>
                                </w:pPr>
                                <w:hyperlink r:id="rId2" w:history="1">
                                  <w:r w:rsidR="00450096" w:rsidRPr="006A26AC">
                                    <w:rPr>
                                      <w:rStyle w:val="Hyperlink"/>
                                      <w:rFonts w:ascii="Arial" w:hAnsi="Arial" w:cs="Arial"/>
                                      <w:color w:val="003468"/>
                                      <w:spacing w:val="-8"/>
                                      <w:sz w:val="16"/>
                                      <w:szCs w:val="16"/>
                                    </w:rPr>
                                    <w:t>http://www.pathology.ubc.ca</w:t>
                                  </w:r>
                                </w:hyperlink>
                              </w:p>
                              <w:p w:rsidR="00450096" w:rsidRDefault="00450096" w:rsidP="006A26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5pt;margin-top:25.5pt;width:125.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" stroked="f">
                    <v:textbox>
                      <w:txbxContent>
                        <w:p w:rsidR="00450096" w:rsidRPr="006A26AC" w:rsidRDefault="00450096" w:rsidP="006A26AC">
                          <w:pPr>
                            <w:pStyle w:val="NoSpacing"/>
                            <w:rPr>
                              <w:rFonts w:ascii="Arial" w:hAnsi="Arial" w:cs="Arial"/>
                              <w:sz w:val="16"/>
                              <w:szCs w:val="16"/>
                            </w:rPr>
                          </w:pPr>
                          <w:r w:rsidRPr="006A26AC">
                            <w:rPr>
                              <w:rFonts w:ascii="Arial" w:hAnsi="Arial" w:cs="Arial"/>
                              <w:sz w:val="16"/>
                              <w:szCs w:val="16"/>
                            </w:rPr>
                            <w:t>Faculty of Medicine</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G105-2211 Wesbrook Mall</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Vancouver, B.C. Canada V6T 2B5</w:t>
                          </w:r>
                        </w:p>
                        <w:p w:rsidR="00450096" w:rsidRPr="006A26AC" w:rsidRDefault="00450096" w:rsidP="006A26AC">
                          <w:pPr>
                            <w:pStyle w:val="NoSpacing"/>
                            <w:rPr>
                              <w:rFonts w:ascii="Arial" w:hAnsi="Arial" w:cs="Arial"/>
                              <w:sz w:val="16"/>
                              <w:szCs w:val="16"/>
                            </w:rPr>
                          </w:pP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Tel:  (604) 822-7102</w:t>
                          </w:r>
                        </w:p>
                        <w:p w:rsidR="00450096" w:rsidRPr="006A26AC" w:rsidRDefault="00450096" w:rsidP="006A26AC">
                          <w:pPr>
                            <w:pStyle w:val="NoSpacing"/>
                            <w:rPr>
                              <w:rFonts w:ascii="Arial" w:hAnsi="Arial" w:cs="Arial"/>
                              <w:sz w:val="16"/>
                              <w:szCs w:val="16"/>
                            </w:rPr>
                          </w:pPr>
                          <w:r w:rsidRPr="006A26AC">
                            <w:rPr>
                              <w:rFonts w:ascii="Arial" w:hAnsi="Arial" w:cs="Arial"/>
                              <w:sz w:val="16"/>
                              <w:szCs w:val="16"/>
                            </w:rPr>
                            <w:t>Fax: (604) 822-9703</w:t>
                          </w:r>
                        </w:p>
                        <w:p w:rsidR="00450096" w:rsidRPr="006A26AC" w:rsidRDefault="001E0600" w:rsidP="006A26AC">
                          <w:pPr>
                            <w:pStyle w:val="NoSpacing"/>
                            <w:rPr>
                              <w:rFonts w:ascii="Arial" w:hAnsi="Arial" w:cs="Arial"/>
                              <w:sz w:val="16"/>
                              <w:szCs w:val="16"/>
                            </w:rPr>
                          </w:pPr>
                          <w:hyperlink r:id="rId3" w:history="1">
                            <w:r w:rsidR="00450096" w:rsidRPr="006A26AC">
                              <w:rPr>
                                <w:rStyle w:val="Hyperlink"/>
                                <w:rFonts w:ascii="Arial" w:hAnsi="Arial" w:cs="Arial"/>
                                <w:color w:val="003468"/>
                                <w:spacing w:val="-8"/>
                                <w:sz w:val="16"/>
                                <w:szCs w:val="16"/>
                              </w:rPr>
                              <w:t>http://www.pathology.ubc.ca</w:t>
                            </w:r>
                          </w:hyperlink>
                        </w:p>
                        <w:p w:rsidR="00450096" w:rsidRDefault="00450096" w:rsidP="006A26AC"/>
                      </w:txbxContent>
                    </v:textbox>
                  </v:shape>
                </w:pict>
              </mc:Fallback>
            </mc:AlternateContent>
          </w:r>
          <w:r>
            <w:rPr>
              <w:noProof/>
              <w:color w:val="000066"/>
              <w:spacing w:val="70"/>
              <w:kern w:val="20"/>
              <w:sz w:val="28"/>
              <w:szCs w:val="28"/>
            </w:rPr>
            <w:drawing>
              <wp:anchor distT="0" distB="0" distL="114300" distR="114300" simplePos="0" relativeHeight="251660288" behindDoc="0" locked="0" layoutInCell="1" allowOverlap="1" wp14:anchorId="745C07B5" wp14:editId="09A0AD48">
                <wp:simplePos x="0" y="0"/>
                <wp:positionH relativeFrom="column">
                  <wp:posOffset>3492500</wp:posOffset>
                </wp:positionH>
                <wp:positionV relativeFrom="paragraph">
                  <wp:posOffset>-247650</wp:posOffset>
                </wp:positionV>
                <wp:extent cx="2009775" cy="628650"/>
                <wp:effectExtent l="0" t="0" r="9525" b="0"/>
                <wp:wrapNone/>
                <wp:docPr id="3" name="Picture 3" descr="Description: PathologyLogo2011_Bol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athologyLogo2011_Bold_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096">
            <w:rPr>
              <w:noProof/>
              <w:color w:val="000066"/>
              <w:spacing w:val="70"/>
              <w:kern w:val="20"/>
              <w:sz w:val="28"/>
              <w:szCs w:val="28"/>
            </w:rPr>
            <w:ptab w:relativeTo="margin" w:alignment="right" w:leader="none"/>
          </w:r>
        </w:p>
      </w:tc>
    </w:tr>
  </w:tbl>
  <w:p w:rsidR="00450096" w:rsidRDefault="00450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C"/>
    <w:rsid w:val="0000127E"/>
    <w:rsid w:val="00003692"/>
    <w:rsid w:val="000939EF"/>
    <w:rsid w:val="000D31DA"/>
    <w:rsid w:val="000E016B"/>
    <w:rsid w:val="00115AC4"/>
    <w:rsid w:val="00125FBA"/>
    <w:rsid w:val="00135149"/>
    <w:rsid w:val="0017696B"/>
    <w:rsid w:val="001B32B9"/>
    <w:rsid w:val="001D3136"/>
    <w:rsid w:val="001D46C9"/>
    <w:rsid w:val="001E0600"/>
    <w:rsid w:val="002311EF"/>
    <w:rsid w:val="002A2A46"/>
    <w:rsid w:val="002D554F"/>
    <w:rsid w:val="002F6C6D"/>
    <w:rsid w:val="00310716"/>
    <w:rsid w:val="00311219"/>
    <w:rsid w:val="00332F24"/>
    <w:rsid w:val="003507EB"/>
    <w:rsid w:val="00360DF0"/>
    <w:rsid w:val="00385252"/>
    <w:rsid w:val="00394423"/>
    <w:rsid w:val="003A488C"/>
    <w:rsid w:val="003B3F5F"/>
    <w:rsid w:val="003D085A"/>
    <w:rsid w:val="003F1694"/>
    <w:rsid w:val="004107F0"/>
    <w:rsid w:val="004129C4"/>
    <w:rsid w:val="00421E9F"/>
    <w:rsid w:val="00450096"/>
    <w:rsid w:val="00463EF8"/>
    <w:rsid w:val="00475B90"/>
    <w:rsid w:val="004C1A1D"/>
    <w:rsid w:val="004F7442"/>
    <w:rsid w:val="004F744C"/>
    <w:rsid w:val="00501FA9"/>
    <w:rsid w:val="0054097C"/>
    <w:rsid w:val="00556BE9"/>
    <w:rsid w:val="00587D06"/>
    <w:rsid w:val="005A1B02"/>
    <w:rsid w:val="005A30C7"/>
    <w:rsid w:val="005C5787"/>
    <w:rsid w:val="005E165A"/>
    <w:rsid w:val="00660454"/>
    <w:rsid w:val="0068218C"/>
    <w:rsid w:val="00690AA8"/>
    <w:rsid w:val="006947F6"/>
    <w:rsid w:val="006A26AC"/>
    <w:rsid w:val="006A6139"/>
    <w:rsid w:val="006C1124"/>
    <w:rsid w:val="00745D7C"/>
    <w:rsid w:val="00763AB7"/>
    <w:rsid w:val="007A2311"/>
    <w:rsid w:val="007B756F"/>
    <w:rsid w:val="007F5B32"/>
    <w:rsid w:val="00831343"/>
    <w:rsid w:val="008451BB"/>
    <w:rsid w:val="00853AC5"/>
    <w:rsid w:val="00854AB9"/>
    <w:rsid w:val="00864AFF"/>
    <w:rsid w:val="008A2167"/>
    <w:rsid w:val="008A2F58"/>
    <w:rsid w:val="008B4337"/>
    <w:rsid w:val="008D32FE"/>
    <w:rsid w:val="009165DE"/>
    <w:rsid w:val="00924793"/>
    <w:rsid w:val="009265CD"/>
    <w:rsid w:val="009319E3"/>
    <w:rsid w:val="00951A45"/>
    <w:rsid w:val="00983323"/>
    <w:rsid w:val="009A7E04"/>
    <w:rsid w:val="00A44DA2"/>
    <w:rsid w:val="00A512E7"/>
    <w:rsid w:val="00A53276"/>
    <w:rsid w:val="00A57B1E"/>
    <w:rsid w:val="00A87388"/>
    <w:rsid w:val="00AA67EA"/>
    <w:rsid w:val="00AD3517"/>
    <w:rsid w:val="00AD4609"/>
    <w:rsid w:val="00AD4F94"/>
    <w:rsid w:val="00AE7E75"/>
    <w:rsid w:val="00B84347"/>
    <w:rsid w:val="00B937DF"/>
    <w:rsid w:val="00B945A4"/>
    <w:rsid w:val="00BB3CC2"/>
    <w:rsid w:val="00BE06A4"/>
    <w:rsid w:val="00BF1511"/>
    <w:rsid w:val="00C00A0D"/>
    <w:rsid w:val="00C613A9"/>
    <w:rsid w:val="00C733C5"/>
    <w:rsid w:val="00C8258F"/>
    <w:rsid w:val="00C90538"/>
    <w:rsid w:val="00CC1A5B"/>
    <w:rsid w:val="00CC2D67"/>
    <w:rsid w:val="00CC575A"/>
    <w:rsid w:val="00CF3E66"/>
    <w:rsid w:val="00D02622"/>
    <w:rsid w:val="00D24FD5"/>
    <w:rsid w:val="00D303A7"/>
    <w:rsid w:val="00D4492F"/>
    <w:rsid w:val="00DA5262"/>
    <w:rsid w:val="00DD3B73"/>
    <w:rsid w:val="00DE7177"/>
    <w:rsid w:val="00DF174E"/>
    <w:rsid w:val="00E14E9E"/>
    <w:rsid w:val="00E16187"/>
    <w:rsid w:val="00E74340"/>
    <w:rsid w:val="00E75D11"/>
    <w:rsid w:val="00EA51C1"/>
    <w:rsid w:val="00EB506F"/>
    <w:rsid w:val="00EF16DF"/>
    <w:rsid w:val="00EF4063"/>
    <w:rsid w:val="00F0355A"/>
    <w:rsid w:val="00F25DC2"/>
    <w:rsid w:val="00F3285F"/>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49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4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435">
      <w:bodyDiv w:val="1"/>
      <w:marLeft w:val="0"/>
      <w:marRight w:val="0"/>
      <w:marTop w:val="0"/>
      <w:marBottom w:val="0"/>
      <w:divBdr>
        <w:top w:val="none" w:sz="0" w:space="0" w:color="auto"/>
        <w:left w:val="none" w:sz="0" w:space="0" w:color="auto"/>
        <w:bottom w:val="none" w:sz="0" w:space="0" w:color="auto"/>
        <w:right w:val="none" w:sz="0" w:space="0" w:color="auto"/>
      </w:divBdr>
      <w:divsChild>
        <w:div w:id="1567108510">
          <w:marLeft w:val="0"/>
          <w:marRight w:val="0"/>
          <w:marTop w:val="0"/>
          <w:marBottom w:val="0"/>
          <w:divBdr>
            <w:top w:val="none" w:sz="0" w:space="0" w:color="auto"/>
            <w:left w:val="none" w:sz="0" w:space="0" w:color="auto"/>
            <w:bottom w:val="none" w:sz="0" w:space="0" w:color="auto"/>
            <w:right w:val="none" w:sz="0" w:space="0" w:color="auto"/>
          </w:divBdr>
          <w:divsChild>
            <w:div w:id="1441296381">
              <w:marLeft w:val="0"/>
              <w:marRight w:val="0"/>
              <w:marTop w:val="0"/>
              <w:marBottom w:val="0"/>
              <w:divBdr>
                <w:top w:val="none" w:sz="0" w:space="0" w:color="auto"/>
                <w:left w:val="none" w:sz="0" w:space="0" w:color="auto"/>
                <w:bottom w:val="none" w:sz="0" w:space="0" w:color="auto"/>
                <w:right w:val="none" w:sz="0" w:space="0" w:color="auto"/>
              </w:divBdr>
              <w:divsChild>
                <w:div w:id="580791812">
                  <w:marLeft w:val="0"/>
                  <w:marRight w:val="0"/>
                  <w:marTop w:val="0"/>
                  <w:marBottom w:val="0"/>
                  <w:divBdr>
                    <w:top w:val="none" w:sz="0" w:space="0" w:color="auto"/>
                    <w:left w:val="none" w:sz="0" w:space="0" w:color="auto"/>
                    <w:bottom w:val="none" w:sz="0" w:space="0" w:color="auto"/>
                    <w:right w:val="none" w:sz="0" w:space="0" w:color="auto"/>
                  </w:divBdr>
                  <w:divsChild>
                    <w:div w:id="497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6638">
      <w:bodyDiv w:val="1"/>
      <w:marLeft w:val="0"/>
      <w:marRight w:val="0"/>
      <w:marTop w:val="0"/>
      <w:marBottom w:val="0"/>
      <w:divBdr>
        <w:top w:val="none" w:sz="0" w:space="0" w:color="auto"/>
        <w:left w:val="none" w:sz="0" w:space="0" w:color="auto"/>
        <w:bottom w:val="none" w:sz="0" w:space="0" w:color="auto"/>
        <w:right w:val="none" w:sz="0" w:space="0" w:color="auto"/>
      </w:divBdr>
      <w:divsChild>
        <w:div w:id="1954825485">
          <w:marLeft w:val="0"/>
          <w:marRight w:val="0"/>
          <w:marTop w:val="0"/>
          <w:marBottom w:val="0"/>
          <w:divBdr>
            <w:top w:val="none" w:sz="0" w:space="0" w:color="auto"/>
            <w:left w:val="none" w:sz="0" w:space="0" w:color="auto"/>
            <w:bottom w:val="none" w:sz="0" w:space="0" w:color="auto"/>
            <w:right w:val="none" w:sz="0" w:space="0" w:color="auto"/>
          </w:divBdr>
          <w:divsChild>
            <w:div w:id="486364482">
              <w:marLeft w:val="0"/>
              <w:marRight w:val="0"/>
              <w:marTop w:val="0"/>
              <w:marBottom w:val="0"/>
              <w:divBdr>
                <w:top w:val="none" w:sz="0" w:space="0" w:color="auto"/>
                <w:left w:val="none" w:sz="0" w:space="0" w:color="auto"/>
                <w:bottom w:val="none" w:sz="0" w:space="0" w:color="auto"/>
                <w:right w:val="none" w:sz="0" w:space="0" w:color="auto"/>
              </w:divBdr>
              <w:divsChild>
                <w:div w:id="276260115">
                  <w:marLeft w:val="0"/>
                  <w:marRight w:val="0"/>
                  <w:marTop w:val="0"/>
                  <w:marBottom w:val="0"/>
                  <w:divBdr>
                    <w:top w:val="none" w:sz="0" w:space="0" w:color="auto"/>
                    <w:left w:val="none" w:sz="0" w:space="0" w:color="auto"/>
                    <w:bottom w:val="none" w:sz="0" w:space="0" w:color="auto"/>
                    <w:right w:val="none" w:sz="0" w:space="0" w:color="auto"/>
                  </w:divBdr>
                  <w:divsChild>
                    <w:div w:id="883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6803">
      <w:bodyDiv w:val="1"/>
      <w:marLeft w:val="0"/>
      <w:marRight w:val="0"/>
      <w:marTop w:val="0"/>
      <w:marBottom w:val="0"/>
      <w:divBdr>
        <w:top w:val="none" w:sz="0" w:space="0" w:color="auto"/>
        <w:left w:val="none" w:sz="0" w:space="0" w:color="auto"/>
        <w:bottom w:val="none" w:sz="0" w:space="0" w:color="auto"/>
        <w:right w:val="none" w:sz="0" w:space="0" w:color="auto"/>
      </w:divBdr>
      <w:divsChild>
        <w:div w:id="1773623200">
          <w:marLeft w:val="0"/>
          <w:marRight w:val="0"/>
          <w:marTop w:val="0"/>
          <w:marBottom w:val="0"/>
          <w:divBdr>
            <w:top w:val="none" w:sz="0" w:space="0" w:color="auto"/>
            <w:left w:val="none" w:sz="0" w:space="0" w:color="auto"/>
            <w:bottom w:val="none" w:sz="0" w:space="0" w:color="auto"/>
            <w:right w:val="none" w:sz="0" w:space="0" w:color="auto"/>
          </w:divBdr>
          <w:divsChild>
            <w:div w:id="531193281">
              <w:marLeft w:val="0"/>
              <w:marRight w:val="0"/>
              <w:marTop w:val="0"/>
              <w:marBottom w:val="0"/>
              <w:divBdr>
                <w:top w:val="none" w:sz="0" w:space="0" w:color="auto"/>
                <w:left w:val="none" w:sz="0" w:space="0" w:color="auto"/>
                <w:bottom w:val="none" w:sz="0" w:space="0" w:color="auto"/>
                <w:right w:val="none" w:sz="0" w:space="0" w:color="auto"/>
              </w:divBdr>
              <w:divsChild>
                <w:div w:id="807360475">
                  <w:marLeft w:val="0"/>
                  <w:marRight w:val="0"/>
                  <w:marTop w:val="0"/>
                  <w:marBottom w:val="0"/>
                  <w:divBdr>
                    <w:top w:val="none" w:sz="0" w:space="0" w:color="auto"/>
                    <w:left w:val="none" w:sz="0" w:space="0" w:color="auto"/>
                    <w:bottom w:val="none" w:sz="0" w:space="0" w:color="auto"/>
                    <w:right w:val="none" w:sz="0" w:space="0" w:color="auto"/>
                  </w:divBdr>
                  <w:divsChild>
                    <w:div w:id="1847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2552">
      <w:bodyDiv w:val="1"/>
      <w:marLeft w:val="0"/>
      <w:marRight w:val="0"/>
      <w:marTop w:val="0"/>
      <w:marBottom w:val="0"/>
      <w:divBdr>
        <w:top w:val="none" w:sz="0" w:space="0" w:color="auto"/>
        <w:left w:val="none" w:sz="0" w:space="0" w:color="auto"/>
        <w:bottom w:val="none" w:sz="0" w:space="0" w:color="auto"/>
        <w:right w:val="none" w:sz="0" w:space="0" w:color="auto"/>
      </w:divBdr>
      <w:divsChild>
        <w:div w:id="384644407">
          <w:marLeft w:val="0"/>
          <w:marRight w:val="0"/>
          <w:marTop w:val="0"/>
          <w:marBottom w:val="0"/>
          <w:divBdr>
            <w:top w:val="none" w:sz="0" w:space="0" w:color="auto"/>
            <w:left w:val="none" w:sz="0" w:space="0" w:color="auto"/>
            <w:bottom w:val="none" w:sz="0" w:space="0" w:color="auto"/>
            <w:right w:val="none" w:sz="0" w:space="0" w:color="auto"/>
          </w:divBdr>
          <w:divsChild>
            <w:div w:id="1592351267">
              <w:marLeft w:val="0"/>
              <w:marRight w:val="0"/>
              <w:marTop w:val="0"/>
              <w:marBottom w:val="0"/>
              <w:divBdr>
                <w:top w:val="none" w:sz="0" w:space="0" w:color="auto"/>
                <w:left w:val="none" w:sz="0" w:space="0" w:color="auto"/>
                <w:bottom w:val="none" w:sz="0" w:space="0" w:color="auto"/>
                <w:right w:val="none" w:sz="0" w:space="0" w:color="auto"/>
              </w:divBdr>
              <w:divsChild>
                <w:div w:id="1869105126">
                  <w:marLeft w:val="0"/>
                  <w:marRight w:val="0"/>
                  <w:marTop w:val="0"/>
                  <w:marBottom w:val="0"/>
                  <w:divBdr>
                    <w:top w:val="none" w:sz="0" w:space="0" w:color="auto"/>
                    <w:left w:val="none" w:sz="0" w:space="0" w:color="auto"/>
                    <w:bottom w:val="none" w:sz="0" w:space="0" w:color="auto"/>
                    <w:right w:val="none" w:sz="0" w:space="0" w:color="auto"/>
                  </w:divBdr>
                  <w:divsChild>
                    <w:div w:id="397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6734">
      <w:bodyDiv w:val="1"/>
      <w:marLeft w:val="0"/>
      <w:marRight w:val="0"/>
      <w:marTop w:val="0"/>
      <w:marBottom w:val="0"/>
      <w:divBdr>
        <w:top w:val="none" w:sz="0" w:space="0" w:color="auto"/>
        <w:left w:val="none" w:sz="0" w:space="0" w:color="auto"/>
        <w:bottom w:val="none" w:sz="0" w:space="0" w:color="auto"/>
        <w:right w:val="none" w:sz="0" w:space="0" w:color="auto"/>
      </w:divBdr>
      <w:divsChild>
        <w:div w:id="1125540365">
          <w:marLeft w:val="0"/>
          <w:marRight w:val="0"/>
          <w:marTop w:val="0"/>
          <w:marBottom w:val="0"/>
          <w:divBdr>
            <w:top w:val="none" w:sz="0" w:space="0" w:color="auto"/>
            <w:left w:val="none" w:sz="0" w:space="0" w:color="auto"/>
            <w:bottom w:val="none" w:sz="0" w:space="0" w:color="auto"/>
            <w:right w:val="none" w:sz="0" w:space="0" w:color="auto"/>
          </w:divBdr>
          <w:divsChild>
            <w:div w:id="1663772286">
              <w:marLeft w:val="0"/>
              <w:marRight w:val="0"/>
              <w:marTop w:val="0"/>
              <w:marBottom w:val="0"/>
              <w:divBdr>
                <w:top w:val="none" w:sz="0" w:space="0" w:color="auto"/>
                <w:left w:val="none" w:sz="0" w:space="0" w:color="auto"/>
                <w:bottom w:val="none" w:sz="0" w:space="0" w:color="auto"/>
                <w:right w:val="none" w:sz="0" w:space="0" w:color="auto"/>
              </w:divBdr>
              <w:divsChild>
                <w:div w:id="155654275">
                  <w:marLeft w:val="0"/>
                  <w:marRight w:val="0"/>
                  <w:marTop w:val="0"/>
                  <w:marBottom w:val="0"/>
                  <w:divBdr>
                    <w:top w:val="none" w:sz="0" w:space="0" w:color="auto"/>
                    <w:left w:val="none" w:sz="0" w:space="0" w:color="auto"/>
                    <w:bottom w:val="none" w:sz="0" w:space="0" w:color="auto"/>
                    <w:right w:val="none" w:sz="0" w:space="0" w:color="auto"/>
                  </w:divBdr>
                  <w:divsChild>
                    <w:div w:id="112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3553">
      <w:bodyDiv w:val="1"/>
      <w:marLeft w:val="0"/>
      <w:marRight w:val="0"/>
      <w:marTop w:val="0"/>
      <w:marBottom w:val="0"/>
      <w:divBdr>
        <w:top w:val="none" w:sz="0" w:space="0" w:color="auto"/>
        <w:left w:val="none" w:sz="0" w:space="0" w:color="auto"/>
        <w:bottom w:val="none" w:sz="0" w:space="0" w:color="auto"/>
        <w:right w:val="none" w:sz="0" w:space="0" w:color="auto"/>
      </w:divBdr>
      <w:divsChild>
        <w:div w:id="701782317">
          <w:marLeft w:val="0"/>
          <w:marRight w:val="0"/>
          <w:marTop w:val="0"/>
          <w:marBottom w:val="0"/>
          <w:divBdr>
            <w:top w:val="none" w:sz="0" w:space="0" w:color="auto"/>
            <w:left w:val="none" w:sz="0" w:space="0" w:color="auto"/>
            <w:bottom w:val="none" w:sz="0" w:space="0" w:color="auto"/>
            <w:right w:val="none" w:sz="0" w:space="0" w:color="auto"/>
          </w:divBdr>
          <w:divsChild>
            <w:div w:id="416053778">
              <w:marLeft w:val="0"/>
              <w:marRight w:val="0"/>
              <w:marTop w:val="0"/>
              <w:marBottom w:val="0"/>
              <w:divBdr>
                <w:top w:val="none" w:sz="0" w:space="0" w:color="auto"/>
                <w:left w:val="none" w:sz="0" w:space="0" w:color="auto"/>
                <w:bottom w:val="none" w:sz="0" w:space="0" w:color="auto"/>
                <w:right w:val="none" w:sz="0" w:space="0" w:color="auto"/>
              </w:divBdr>
              <w:divsChild>
                <w:div w:id="335807545">
                  <w:marLeft w:val="0"/>
                  <w:marRight w:val="0"/>
                  <w:marTop w:val="0"/>
                  <w:marBottom w:val="0"/>
                  <w:divBdr>
                    <w:top w:val="none" w:sz="0" w:space="0" w:color="auto"/>
                    <w:left w:val="none" w:sz="0" w:space="0" w:color="auto"/>
                    <w:bottom w:val="none" w:sz="0" w:space="0" w:color="auto"/>
                    <w:right w:val="none" w:sz="0" w:space="0" w:color="auto"/>
                  </w:divBdr>
                  <w:divsChild>
                    <w:div w:id="80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1211">
      <w:bodyDiv w:val="1"/>
      <w:marLeft w:val="0"/>
      <w:marRight w:val="0"/>
      <w:marTop w:val="0"/>
      <w:marBottom w:val="0"/>
      <w:divBdr>
        <w:top w:val="none" w:sz="0" w:space="0" w:color="auto"/>
        <w:left w:val="none" w:sz="0" w:space="0" w:color="auto"/>
        <w:bottom w:val="none" w:sz="0" w:space="0" w:color="auto"/>
        <w:right w:val="none" w:sz="0" w:space="0" w:color="auto"/>
      </w:divBdr>
      <w:divsChild>
        <w:div w:id="558786883">
          <w:marLeft w:val="0"/>
          <w:marRight w:val="0"/>
          <w:marTop w:val="0"/>
          <w:marBottom w:val="0"/>
          <w:divBdr>
            <w:top w:val="none" w:sz="0" w:space="0" w:color="auto"/>
            <w:left w:val="none" w:sz="0" w:space="0" w:color="auto"/>
            <w:bottom w:val="none" w:sz="0" w:space="0" w:color="auto"/>
            <w:right w:val="none" w:sz="0" w:space="0" w:color="auto"/>
          </w:divBdr>
          <w:divsChild>
            <w:div w:id="365066773">
              <w:marLeft w:val="0"/>
              <w:marRight w:val="0"/>
              <w:marTop w:val="0"/>
              <w:marBottom w:val="0"/>
              <w:divBdr>
                <w:top w:val="none" w:sz="0" w:space="0" w:color="auto"/>
                <w:left w:val="none" w:sz="0" w:space="0" w:color="auto"/>
                <w:bottom w:val="none" w:sz="0" w:space="0" w:color="auto"/>
                <w:right w:val="none" w:sz="0" w:space="0" w:color="auto"/>
              </w:divBdr>
              <w:divsChild>
                <w:div w:id="273901696">
                  <w:marLeft w:val="0"/>
                  <w:marRight w:val="0"/>
                  <w:marTop w:val="0"/>
                  <w:marBottom w:val="0"/>
                  <w:divBdr>
                    <w:top w:val="none" w:sz="0" w:space="0" w:color="auto"/>
                    <w:left w:val="none" w:sz="0" w:space="0" w:color="auto"/>
                    <w:bottom w:val="none" w:sz="0" w:space="0" w:color="auto"/>
                    <w:right w:val="none" w:sz="0" w:space="0" w:color="auto"/>
                  </w:divBdr>
                  <w:divsChild>
                    <w:div w:id="570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2739">
      <w:bodyDiv w:val="1"/>
      <w:marLeft w:val="0"/>
      <w:marRight w:val="0"/>
      <w:marTop w:val="0"/>
      <w:marBottom w:val="0"/>
      <w:divBdr>
        <w:top w:val="none" w:sz="0" w:space="0" w:color="auto"/>
        <w:left w:val="none" w:sz="0" w:space="0" w:color="auto"/>
        <w:bottom w:val="none" w:sz="0" w:space="0" w:color="auto"/>
        <w:right w:val="none" w:sz="0" w:space="0" w:color="auto"/>
      </w:divBdr>
      <w:divsChild>
        <w:div w:id="1076323458">
          <w:marLeft w:val="0"/>
          <w:marRight w:val="0"/>
          <w:marTop w:val="0"/>
          <w:marBottom w:val="0"/>
          <w:divBdr>
            <w:top w:val="none" w:sz="0" w:space="0" w:color="auto"/>
            <w:left w:val="none" w:sz="0" w:space="0" w:color="auto"/>
            <w:bottom w:val="none" w:sz="0" w:space="0" w:color="auto"/>
            <w:right w:val="none" w:sz="0" w:space="0" w:color="auto"/>
          </w:divBdr>
          <w:divsChild>
            <w:div w:id="601033223">
              <w:marLeft w:val="0"/>
              <w:marRight w:val="0"/>
              <w:marTop w:val="0"/>
              <w:marBottom w:val="0"/>
              <w:divBdr>
                <w:top w:val="none" w:sz="0" w:space="0" w:color="auto"/>
                <w:left w:val="none" w:sz="0" w:space="0" w:color="auto"/>
                <w:bottom w:val="none" w:sz="0" w:space="0" w:color="auto"/>
                <w:right w:val="none" w:sz="0" w:space="0" w:color="auto"/>
              </w:divBdr>
              <w:divsChild>
                <w:div w:id="370884076">
                  <w:marLeft w:val="0"/>
                  <w:marRight w:val="0"/>
                  <w:marTop w:val="0"/>
                  <w:marBottom w:val="0"/>
                  <w:divBdr>
                    <w:top w:val="none" w:sz="0" w:space="0" w:color="auto"/>
                    <w:left w:val="none" w:sz="0" w:space="0" w:color="auto"/>
                    <w:bottom w:val="none" w:sz="0" w:space="0" w:color="auto"/>
                    <w:right w:val="none" w:sz="0" w:space="0" w:color="auto"/>
                  </w:divBdr>
                  <w:divsChild>
                    <w:div w:id="20422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bc.ca/cwl/homelink.shtml" TargetMode="External"/><Relationship Id="rId13" Type="http://schemas.openxmlformats.org/officeDocument/2006/relationships/hyperlink" Target="http://www.hr.ubc.ca/benefits" TargetMode="External"/><Relationship Id="rId18" Type="http://schemas.openxmlformats.org/officeDocument/2006/relationships/hyperlink" Target="mailto:mary.tim@ubc.ca" TargetMode="External"/><Relationship Id="rId26" Type="http://schemas.openxmlformats.org/officeDocument/2006/relationships/hyperlink" Target="http://www.//okanagan.ubcconferences.com/" TargetMode="External"/><Relationship Id="rId3" Type="http://schemas.openxmlformats.org/officeDocument/2006/relationships/settings" Target="settings.xml"/><Relationship Id="rId21" Type="http://schemas.openxmlformats.org/officeDocument/2006/relationships/hyperlink" Target="http://www.bookstore.ubc.ca/cpu/index.html" TargetMode="External"/><Relationship Id="rId7" Type="http://schemas.openxmlformats.org/officeDocument/2006/relationships/hyperlink" Target="http://www.ubccard.ubc.ca" TargetMode="External"/><Relationship Id="rId12" Type="http://schemas.openxmlformats.org/officeDocument/2006/relationships/hyperlink" Target="mailto:jleung@pathology.ubc.ca" TargetMode="External"/><Relationship Id="rId17" Type="http://schemas.openxmlformats.org/officeDocument/2006/relationships/hyperlink" Target="http://www.hr.ubc.ca/learning-development/" TargetMode="External"/><Relationship Id="rId25" Type="http://schemas.openxmlformats.org/officeDocument/2006/relationships/hyperlink" Target="http://www.ubcconferences.com/accomodations/" TargetMode="External"/><Relationship Id="rId2" Type="http://schemas.microsoft.com/office/2007/relationships/stylesWithEffects" Target="stylesWithEffects.xml"/><Relationship Id="rId16" Type="http://schemas.openxmlformats.org/officeDocument/2006/relationships/hyperlink" Target="mailto:peter.godman@ubc.ca" TargetMode="External"/><Relationship Id="rId20" Type="http://schemas.openxmlformats.org/officeDocument/2006/relationships/hyperlink" Target="http://www.hr.ubc.ca/benefits/professional-development/"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t.ubc.ca/service-catalogue/internet-and-telephone/network-management/myvpn/setup-documents" TargetMode="External"/><Relationship Id="rId24" Type="http://schemas.openxmlformats.org/officeDocument/2006/relationships/hyperlink" Target="http://www.travel.ubc.ca" TargetMode="External"/><Relationship Id="rId5" Type="http://schemas.openxmlformats.org/officeDocument/2006/relationships/footnotes" Target="footnotes.xml"/><Relationship Id="rId15" Type="http://schemas.openxmlformats.org/officeDocument/2006/relationships/hyperlink" Target="mailto:susanna.mulligan@ubc.ca" TargetMode="External"/><Relationship Id="rId23" Type="http://schemas.openxmlformats.org/officeDocument/2006/relationships/hyperlink" Target="http://www.hr.ubc.ca/faculty-staff-resources/perks/" TargetMode="External"/><Relationship Id="rId28" Type="http://schemas.openxmlformats.org/officeDocument/2006/relationships/hyperlink" Target="https://www.kidsandcompany.ca/" TargetMode="External"/><Relationship Id="rId10" Type="http://schemas.openxmlformats.org/officeDocument/2006/relationships/hyperlink" Target="http://www.library.ubc.ca" TargetMode="External"/><Relationship Id="rId19" Type="http://schemas.openxmlformats.org/officeDocument/2006/relationships/hyperlink" Target="http://www.hr.ubc.ca/odl/mo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t.ubc.ca/service-catalogue/internet-and-telephone/network-management/myvpn/setup-documents" TargetMode="External"/><Relationship Id="rId14" Type="http://schemas.openxmlformats.org/officeDocument/2006/relationships/hyperlink" Target="http://www.hr.ubc.ca/learning-development/funding" TargetMode="External"/><Relationship Id="rId22" Type="http://schemas.openxmlformats.org/officeDocument/2006/relationships/hyperlink" Target="http://www.hr.ubc.ca/faculty-staff-resources/perks" TargetMode="External"/><Relationship Id="rId27" Type="http://schemas.openxmlformats.org/officeDocument/2006/relationships/hyperlink" Target="http://www.childcare.ubc.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thology.ubc.ca" TargetMode="External"/><Relationship Id="rId2" Type="http://schemas.openxmlformats.org/officeDocument/2006/relationships/hyperlink" Target="http://www.pathology.ubc.ca"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Leung</dc:creator>
  <cp:keywords/>
  <dc:description/>
  <cp:lastModifiedBy>Adeline Chan</cp:lastModifiedBy>
  <cp:revision>7</cp:revision>
  <dcterms:created xsi:type="dcterms:W3CDTF">2012-10-24T18:55:00Z</dcterms:created>
  <dcterms:modified xsi:type="dcterms:W3CDTF">2014-06-19T19:41:00Z</dcterms:modified>
</cp:coreProperties>
</file>